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0" w:firstLineChars="200"/>
        <w:jc w:val="left"/>
        <w:rPr>
          <w:rFonts w:asciiTheme="minorEastAsia" w:hAnsiTheme="minorEastAsia" w:eastAsiaTheme="minorEastAsia"/>
          <w:sz w:val="22"/>
        </w:rPr>
      </w:pPr>
      <w:r>
        <w:rPr>
          <w:rFonts w:hint="eastAsia" w:asciiTheme="minorEastAsia" w:hAnsiTheme="minorEastAsia" w:eastAsiaTheme="minorEastAsia"/>
          <w:sz w:val="22"/>
        </w:rPr>
        <w:t>附件1</w:t>
      </w:r>
    </w:p>
    <w:p>
      <w:pPr>
        <w:spacing w:line="360" w:lineRule="auto"/>
        <w:ind w:firstLine="440" w:firstLineChars="200"/>
        <w:jc w:val="left"/>
        <w:rPr>
          <w:rFonts w:asciiTheme="minorEastAsia" w:hAnsiTheme="minorEastAsia" w:eastAsiaTheme="minorEastAsia"/>
          <w:sz w:val="22"/>
        </w:rPr>
      </w:pPr>
    </w:p>
    <w:tbl>
      <w:tblPr>
        <w:tblStyle w:val="3"/>
        <w:tblW w:w="8522" w:type="dxa"/>
        <w:tblInd w:w="0" w:type="dxa"/>
        <w:tblLayout w:type="fixed"/>
        <w:tblCellMar>
          <w:top w:w="0" w:type="dxa"/>
          <w:left w:w="108" w:type="dxa"/>
          <w:bottom w:w="0" w:type="dxa"/>
          <w:right w:w="108" w:type="dxa"/>
        </w:tblCellMar>
      </w:tblPr>
      <w:tblGrid>
        <w:gridCol w:w="510"/>
        <w:gridCol w:w="874"/>
        <w:gridCol w:w="6236"/>
        <w:gridCol w:w="902"/>
      </w:tblGrid>
      <w:tr>
        <w:tblPrEx>
          <w:tblLayout w:type="fixed"/>
          <w:tblCellMar>
            <w:top w:w="0" w:type="dxa"/>
            <w:left w:w="108" w:type="dxa"/>
            <w:bottom w:w="0" w:type="dxa"/>
            <w:right w:w="108" w:type="dxa"/>
          </w:tblCellMar>
        </w:tblPrEx>
        <w:trPr>
          <w:trHeight w:val="567" w:hRule="exac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color w:val="000000"/>
                <w:kern w:val="0"/>
                <w:sz w:val="20"/>
              </w:rPr>
            </w:pPr>
            <w:r>
              <w:rPr>
                <w:rFonts w:hint="eastAsia" w:ascii="黑体" w:hAnsi="黑体" w:eastAsia="黑体" w:cs="宋体"/>
                <w:bCs/>
                <w:color w:val="000000"/>
                <w:kern w:val="0"/>
                <w:sz w:val="20"/>
              </w:rPr>
              <w:t>2016年大型仪器测试开放基金资助延期结题项目</w:t>
            </w:r>
          </w:p>
        </w:tc>
      </w:tr>
      <w:tr>
        <w:tblPrEx>
          <w:tblLayout w:type="fixed"/>
          <w:tblCellMar>
            <w:top w:w="0" w:type="dxa"/>
            <w:left w:w="108" w:type="dxa"/>
            <w:bottom w:w="0" w:type="dxa"/>
            <w:right w:w="108" w:type="dxa"/>
          </w:tblCellMar>
        </w:tblPrEx>
        <w:trPr>
          <w:trHeight w:val="567" w:hRule="exact"/>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kern w:val="0"/>
                <w:sz w:val="20"/>
              </w:rPr>
            </w:pPr>
            <w:r>
              <w:rPr>
                <w:rFonts w:hint="eastAsia" w:cs="宋体" w:asciiTheme="minorEastAsia" w:hAnsiTheme="minorEastAsia" w:eastAsiaTheme="minorEastAsia"/>
                <w:bCs/>
                <w:color w:val="000000"/>
                <w:kern w:val="0"/>
                <w:sz w:val="20"/>
              </w:rPr>
              <w:t>序号</w:t>
            </w:r>
          </w:p>
        </w:tc>
        <w:tc>
          <w:tcPr>
            <w:tcW w:w="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kern w:val="0"/>
                <w:sz w:val="20"/>
              </w:rPr>
            </w:pPr>
            <w:r>
              <w:rPr>
                <w:rFonts w:hint="eastAsia" w:cs="宋体" w:asciiTheme="minorEastAsia" w:hAnsiTheme="minorEastAsia" w:eastAsiaTheme="minorEastAsia"/>
                <w:bCs/>
                <w:color w:val="000000"/>
                <w:kern w:val="0"/>
                <w:sz w:val="20"/>
              </w:rPr>
              <w:t>学院</w:t>
            </w:r>
          </w:p>
        </w:tc>
        <w:tc>
          <w:tcPr>
            <w:tcW w:w="6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kern w:val="0"/>
                <w:sz w:val="20"/>
              </w:rPr>
            </w:pPr>
            <w:r>
              <w:rPr>
                <w:rFonts w:hint="eastAsia" w:cs="宋体" w:asciiTheme="minorEastAsia" w:hAnsiTheme="minorEastAsia" w:eastAsiaTheme="minorEastAsia"/>
                <w:bCs/>
                <w:color w:val="000000"/>
                <w:kern w:val="0"/>
                <w:sz w:val="20"/>
              </w:rPr>
              <w:t>项目名称</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color w:val="000000"/>
                <w:kern w:val="0"/>
                <w:sz w:val="20"/>
              </w:rPr>
            </w:pPr>
            <w:r>
              <w:rPr>
                <w:rFonts w:hint="eastAsia" w:cs="宋体" w:asciiTheme="minorEastAsia" w:hAnsiTheme="minorEastAsia" w:eastAsiaTheme="minorEastAsia"/>
                <w:bCs/>
                <w:color w:val="000000"/>
                <w:kern w:val="0"/>
                <w:sz w:val="20"/>
              </w:rPr>
              <w:t>申请人</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1</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教科院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音乐训练影响面孔结构信息和特征信息加工的认知神经机制研究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陈杰</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2</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教科院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欺骗中自我控制的影响：行为及神经基础研究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范伟</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3</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教科院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自我相关性与风险水平影响道德决策的神经</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占有龙</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4</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生科院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柑橘大实蝇嗅觉相关研究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周琼</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5</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负载铁生物炭对水稻根际砷生物有效性的控制作用与机理研究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王侠</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6</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生物炭对蜈蚣草提取修复土壤As污染的强化作用与形成机制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杜艳艳</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7</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正电荷荧光共轭聚合物的制备</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郑旋芳</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8</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生物功能化的纳米材料细胞成像研究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钟美乐</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9</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亲水色谱整体柱的制备及应用</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谌叶</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10</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基于敞开式质谱检测的药物液相色谱高通量筛选研究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陈波</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11</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新型吖啶类化学发光试剂的研究开发</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谢朝龙</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12</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新型远程红色荧光粉的设计合成及其应用</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廉世勋</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13</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温控自组装手性催化剂的制备及其水相中不对称催化性能研究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张瑶瑶</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14</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温敏型催化剂的制备及其在水相中催化性能研究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郝鹏波</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15</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Yolk-shell型双金属手性催化剂的制备及其不对称催化性能研究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高梦翘</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16</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氧化石墨烯负载四氯化锡离子液体催化剂的设计及其催化水相中环酮Baeyer-villiger反应性能研究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邢忱</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17</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生物质介孔碳的制备与燃油吸附-催化氧化深度脱硫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刘亚纯</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18</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生物亲和型纳米复合材料的制备及其性能表征</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佘芳</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19</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基于卟啉的纳米环状化合物的合成与性能研究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宋建新</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20</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中位吡咯桥连卟啉阵列的合成与性能研究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李亚杰</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21</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过渡金属催化胺基</w:t>
            </w:r>
            <w:r>
              <w:rPr>
                <w:rFonts w:hint="eastAsia" w:cs="宋体" w:asciiTheme="minorEastAsia" w:hAnsiTheme="minorEastAsia" w:eastAsiaTheme="minorEastAsia"/>
                <w:i/>
                <w:iCs/>
                <w:kern w:val="0"/>
                <w:sz w:val="20"/>
                <w:szCs w:val="22"/>
              </w:rPr>
              <w:t>β</w:t>
            </w:r>
            <w:r>
              <w:rPr>
                <w:rFonts w:hint="eastAsia" w:cs="宋体" w:asciiTheme="minorEastAsia" w:hAnsiTheme="minorEastAsia" w:eastAsiaTheme="minorEastAsia"/>
                <w:kern w:val="0"/>
                <w:sz w:val="20"/>
                <w:szCs w:val="22"/>
              </w:rPr>
              <w:t>-C(sp</w:t>
            </w:r>
            <w:r>
              <w:rPr>
                <w:rFonts w:hint="eastAsia" w:cs="宋体" w:asciiTheme="minorEastAsia" w:hAnsiTheme="minorEastAsia" w:eastAsiaTheme="minorEastAsia"/>
                <w:kern w:val="0"/>
                <w:sz w:val="20"/>
                <w:szCs w:val="22"/>
                <w:vertAlign w:val="superscript"/>
              </w:rPr>
              <w:t>3</w:t>
            </w:r>
            <w:r>
              <w:rPr>
                <w:rFonts w:hint="eastAsia" w:cs="宋体" w:asciiTheme="minorEastAsia" w:hAnsiTheme="minorEastAsia" w:eastAsiaTheme="minorEastAsia"/>
                <w:kern w:val="0"/>
                <w:sz w:val="20"/>
                <w:szCs w:val="22"/>
              </w:rPr>
              <w:t>)官能团化/环化合成氮杂环化合物研究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邓国博</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22</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芳环稠合卟啉的合成方法及性能的研究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周明波</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23</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纳米复合体系的生化传感研究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黄红梅</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24</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纳米复合体系的催化性能研究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肖毅</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25</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磁性纳米粒子的氨氧基修饰和多官能团链接分子的合成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匡斌</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26</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用于修饰纳米粒子的硅烷偶联剂与多功能链接臂的合成</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刘长庚</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27</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癌细胞中具有特殊基团的蛋白质的提取的研究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朱俊陵</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28</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BCA的合成与应用</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沈 娟 </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29</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层间孔结构生物质炭构建仿酶活性位与催化木质纤维转化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张 超</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30</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环己烷氧化合成KA 油的高效可见光催化剂的研究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伏再辉</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31</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高能层状正极材料的固相合成、表面调控及结构稳定性研究 </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 xml:space="preserve">杨立山 </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32</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硅基催化环己胺氧化制备环己酮肟的研究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钟文周</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33</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新型双金属纳米材料的合成与表征</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陈园</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34</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新型光电活性小分子的合成与传感器构建</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szCs w:val="22"/>
              </w:rPr>
            </w:pPr>
            <w:r>
              <w:rPr>
                <w:rFonts w:hint="eastAsia" w:cs="宋体" w:asciiTheme="minorEastAsia" w:hAnsiTheme="minorEastAsia" w:eastAsiaTheme="minorEastAsia"/>
                <w:kern w:val="0"/>
                <w:sz w:val="20"/>
                <w:szCs w:val="22"/>
              </w:rPr>
              <w:t>张思</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35</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8-溴-7-甲氧基白杨素靶向肝癌干细胞Twist信号传导作用机制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曹建国</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36</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洛伐他汀对三阴性乳腺癌细胞糖代谢作用的研究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李贵妃</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37</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cavoelin-1对肺泡上皮II型细胞的功能调控与机制研究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申丽</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38</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NF-κB协同FoxM1介导BrMC抑制肺癌干细胞自我更新能力机制研究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宋振威</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39</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地塞米松对ALI小鼠TREM-1表达的影响及调控机制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孙国瑛</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40</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Zika病毒NS1抗原双抗夹心ELISA检测方法的建立</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李晓丹</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41</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多形性胶质母细胞瘤病预后相关mRNAs与microRNAs的筛选、验证、及功能表达</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唐雪梅</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42</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TLR4信号通路介导DFMG抗AS作用机制研究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王如波</w:t>
            </w:r>
          </w:p>
        </w:tc>
      </w:tr>
      <w:tr>
        <w:tblPrEx>
          <w:tblLayout w:type="fixed"/>
          <w:tblCellMar>
            <w:top w:w="0" w:type="dxa"/>
            <w:left w:w="108" w:type="dxa"/>
            <w:bottom w:w="0" w:type="dxa"/>
            <w:right w:w="108" w:type="dxa"/>
          </w:tblCellMar>
        </w:tblPrEx>
        <w:trPr>
          <w:trHeight w:val="567" w:hRule="exact"/>
        </w:trPr>
        <w:tc>
          <w:tcPr>
            <w:tcW w:w="5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43</w:t>
            </w:r>
          </w:p>
        </w:tc>
        <w:tc>
          <w:tcPr>
            <w:tcW w:w="87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医学院 </w:t>
            </w:r>
          </w:p>
        </w:tc>
        <w:tc>
          <w:tcPr>
            <w:tcW w:w="62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洛伐他汀靶向乳腺癌干细胞抑制EMT和转移的作用和机制</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邓锡云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D2EE7"/>
    <w:rsid w:val="04FD2E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2017-12-13T10:08:00Z</dcterms:created>
  <dc:creator>瀚</dc:creator>
  <cp:lastModifiedBy>瀚</cp:lastModifiedBy>
  <dcterms:modified xsi:type="dcterms:W3CDTF">2017-12-13T10:08:33Z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